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520" w:before="300" w:line="335.99999999999994" w:lineRule="auto"/>
        <w:contextualSpacing w:val="0"/>
        <w:jc w:val="center"/>
        <w:rPr>
          <w:rFonts w:ascii="Verdana" w:cs="Verdana" w:eastAsia="Verdana" w:hAnsi="Verdana"/>
          <w:b w:val="1"/>
          <w:color w:val="19181c"/>
          <w:highlight w:val="white"/>
        </w:rPr>
      </w:pPr>
      <w:r w:rsidDel="00000000" w:rsidR="00000000" w:rsidRPr="00000000">
        <w:rPr>
          <w:rFonts w:ascii="Verdana" w:cs="Verdana" w:eastAsia="Verdana" w:hAnsi="Verdana"/>
          <w:b w:val="1"/>
          <w:color w:val="19181c"/>
          <w:highlight w:val="white"/>
          <w:rtl w:val="0"/>
        </w:rPr>
        <w:t xml:space="preserve"> Programación científica 2014-2015</w:t>
      </w:r>
    </w:p>
    <w:tbl>
      <w:tblPr>
        <w:tblStyle w:val="Table1"/>
        <w:tblW w:w="14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4095"/>
        <w:gridCol w:w="6345"/>
        <w:tblGridChange w:id="0">
          <w:tblGrid>
            <w:gridCol w:w="4110"/>
            <w:gridCol w:w="4095"/>
            <w:gridCol w:w="6345"/>
          </w:tblGrid>
        </w:tblGridChange>
      </w:tblGrid>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both"/>
              <w:rPr>
                <w:rFonts w:ascii="Verdana" w:cs="Verdana" w:eastAsia="Verdana" w:hAnsi="Verdana"/>
                <w:b w:val="1"/>
                <w:color w:val="19181c"/>
                <w:highlight w:val="white"/>
              </w:rPr>
            </w:pPr>
            <w:r w:rsidDel="00000000" w:rsidR="00000000" w:rsidRPr="00000000">
              <w:rPr>
                <w:rFonts w:ascii="Verdana" w:cs="Verdana" w:eastAsia="Verdana" w:hAnsi="Verdana"/>
                <w:b w:val="1"/>
                <w:color w:val="19181c"/>
                <w:highlight w:val="white"/>
                <w:rtl w:val="0"/>
              </w:rPr>
              <w:t xml:space="preserve">Denominación</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both"/>
              <w:rPr>
                <w:rFonts w:ascii="Verdana" w:cs="Verdana" w:eastAsia="Verdana" w:hAnsi="Verdana"/>
                <w:b w:val="1"/>
                <w:color w:val="19181c"/>
                <w:highlight w:val="white"/>
              </w:rPr>
            </w:pPr>
            <w:r w:rsidDel="00000000" w:rsidR="00000000" w:rsidRPr="00000000">
              <w:rPr>
                <w:rFonts w:ascii="Verdana" w:cs="Verdana" w:eastAsia="Verdana" w:hAnsi="Verdana"/>
                <w:b w:val="1"/>
                <w:color w:val="19181c"/>
                <w:highlight w:val="white"/>
                <w:rtl w:val="0"/>
              </w:rPr>
              <w:t xml:space="preserve">Equipo</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both"/>
              <w:rPr>
                <w:rFonts w:ascii="Verdana" w:cs="Verdana" w:eastAsia="Verdana" w:hAnsi="Verdana"/>
                <w:b w:val="1"/>
                <w:color w:val="19181c"/>
                <w:highlight w:val="white"/>
              </w:rPr>
            </w:pPr>
            <w:r w:rsidDel="00000000" w:rsidR="00000000" w:rsidRPr="00000000">
              <w:rPr>
                <w:rFonts w:ascii="Verdana" w:cs="Verdana" w:eastAsia="Verdana" w:hAnsi="Verdana"/>
                <w:b w:val="1"/>
                <w:color w:val="19181c"/>
                <w:highlight w:val="white"/>
                <w:rtl w:val="0"/>
              </w:rPr>
              <w:t xml:space="preserve">Resumen</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b w:val="1"/>
                <w:color w:val="19181c"/>
                <w:highlight w:val="white"/>
              </w:rPr>
            </w:pPr>
            <w:r w:rsidDel="00000000" w:rsidR="00000000" w:rsidRPr="00000000">
              <w:rPr>
                <w:rFonts w:ascii="Verdana" w:cs="Verdana" w:eastAsia="Verdana" w:hAnsi="Verdana"/>
                <w:color w:val="19181c"/>
                <w:highlight w:val="white"/>
                <w:rtl w:val="0"/>
              </w:rPr>
              <w:t xml:space="preserve">Infancia, Vulnerabilidad y Segmentación Urbana en Ciudad Autónoma de Buenos Aires (CABA). Aportes para su medición.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Director: Alberto Minujin. Codirector Julio </w:t>
            </w:r>
            <w:r w:rsidDel="00000000" w:rsidR="00000000" w:rsidRPr="00000000">
              <w:rPr>
                <w:rFonts w:ascii="Verdana" w:cs="Verdana" w:eastAsia="Verdana" w:hAnsi="Verdana"/>
                <w:color w:val="19181c"/>
                <w:highlight w:val="white"/>
                <w:rtl w:val="0"/>
              </w:rPr>
              <w:t xml:space="preserve">Canessa</w:t>
            </w:r>
            <w:r w:rsidDel="00000000" w:rsidR="00000000" w:rsidRPr="00000000">
              <w:rPr>
                <w:rtl w:val="0"/>
              </w:rPr>
            </w:r>
          </w:p>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Integrantes: Christian Arias, </w:t>
            </w:r>
            <w:r w:rsidDel="00000000" w:rsidR="00000000" w:rsidRPr="00000000">
              <w:rPr>
                <w:rFonts w:ascii="Verdana" w:cs="Verdana" w:eastAsia="Verdana" w:hAnsi="Verdana"/>
                <w:color w:val="19181c"/>
                <w:highlight w:val="white"/>
                <w:rtl w:val="0"/>
              </w:rPr>
              <w:t xml:space="preserve">Cardenys Del Valle Rodríguez Urbaneja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Se realizará un estudio sobre la vulnerabilidad infantil y su relación con elementos implícitos a nivel social, económico y territorial. El objetivo es construir un índice que mida la vulnerabilidad en hogares con población infantil a partir de la Encuesta Anual de Hogares (EAH) de la Capital Autónoma de Buenos Aires (CABA), durante el período 2007 - 2011. Se identificarán y analizarán dimensiones e indicadores de la vulnerabilidad infantil en la EAH y su distribución territorial. Se trabajará a partir de una metodología cuantitativa - descriptiva, las unidades de análisis observadas serán un subgrupo dentro de la población de estudio con la que trabaja la EAH. Se espera tener como resultados, la producción de contenidos analíticos que sustenten la evaluación, diseño y ejecución de las políticas sociales urbanas en la CABA. </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b w:val="1"/>
                <w:color w:val="19181c"/>
                <w:highlight w:val="white"/>
              </w:rPr>
            </w:pPr>
            <w:r w:rsidDel="00000000" w:rsidR="00000000" w:rsidRPr="00000000">
              <w:rPr>
                <w:rFonts w:ascii="Verdana" w:cs="Verdana" w:eastAsia="Verdana" w:hAnsi="Verdana"/>
                <w:color w:val="19181c"/>
                <w:highlight w:val="white"/>
                <w:rtl w:val="0"/>
              </w:rPr>
              <w:t xml:space="preserve">Continuidades y cambios en los modelos y experiencias de paternidad en dos generaciones de padres residentes en barrios marginales y vulnerables de la Ciudad de Buenos Aires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Directora: María Victoria Castilla.</w:t>
            </w:r>
          </w:p>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Integrantes: Luciana Arauz, Silvia Tapia y Fernanda Miguel</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La diversidad de experiencias, significados, continuidades y procesos de cambio en torno a la paternidad en los jóvenes, se encuentra modelada por las tensiones emergentes entre modernidad-tradición y biografía-estructura, así como también las diferencias intra-género que se puedan presentar en los padres residentes en barrios marginales y vulnerables. En esta investigación se abordan las lógicas y dinámicas que articulan nuevas formas de vivir el ser padre joven con las expectativas y normativas morales de cuidado, contención, atención y abastecimiento presentes tanto en instituciones (salud, educación, familia) como en la sociedad en general. En correspondencia a este interrogante, la presente investigación identifican, describen, analizan críticamente los modelos y experiencias de paternidad presentes en jóvenes varones residentes en barrios marginales y vulnerables del Área Metropolitana de  Buenos Aires, en relación con las normativas morales de familia, masculinidad y paternidad. </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Sistemas Locales Comparados en América Latina (I).</w:t>
            </w:r>
          </w:p>
          <w:p w:rsidR="00000000" w:rsidDel="00000000" w:rsidP="00000000" w:rsidRDefault="00000000" w:rsidRPr="00000000">
            <w:pPr>
              <w:widowControl w:val="0"/>
              <w:spacing w:line="240" w:lineRule="auto"/>
              <w:contextualSpacing w:val="0"/>
              <w:jc w:val="both"/>
              <w:rPr>
                <w:rFonts w:ascii="Verdana" w:cs="Verdana" w:eastAsia="Verdana" w:hAnsi="Verdana"/>
                <w:color w:val="19181c"/>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Director: Daniel Cravacuore</w:t>
            </w:r>
          </w:p>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Integrantes: Sonia Ramella, </w:t>
            </w:r>
            <w:r w:rsidDel="00000000" w:rsidR="00000000" w:rsidRPr="00000000">
              <w:rPr>
                <w:rFonts w:ascii="Verdana" w:cs="Verdana" w:eastAsia="Verdana" w:hAnsi="Verdana"/>
                <w:color w:val="19181c"/>
                <w:highlight w:val="white"/>
                <w:rtl w:val="0"/>
              </w:rPr>
              <w:t xml:space="preserve">Ezequiel Pasman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Los sistemas locales se caracterizan por la extensión del territorio de sus municipios y sus características físicas; la cercanía relativa entre sus ciudades; la cantidad de población y sus características socio-culturales; el marco jurídico nacional y local; la dotación de recursos económicos y financieros; las particularidades del régimen electoral; las capacidades institucionales; y el liderazgo de sus actores, entre muchos otros aspectos. También son diferenciales las competencias y funciones municipales, así como las políticas que en ellos se ejecutan. El objetivo de este proyecto es analizar los sistemas locales de América Latina y las políticas que ellos desarrollan en perspectiva comparada, avanzando en las características institucionales de los sistemas locales y su influencia sobre el diseño de las políticas sociales. </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Trabajo y migración: más allá de la precariedad. El caso de la industria de la indumentaria. Buenos Aires, 2001-2015.</w:t>
            </w:r>
          </w:p>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Dirección: Jorge Carpio</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Desde el fin de la convertibilidad se observa en la industria de indumentaria argentina una tendencia creciente tanto de la producción como de los puestos de trabajo –revirtiendo la profunda retracción experimentada en los años 90-. Esta alza, sin embargo, no tuvo correlato en las condiciones de trabajo. Por el contrario, han proliferado los talleres de confección clandestinos en los que se emplea mayormente a personas procedentes de Bolivia, traídos mediante mecanismos que se inscriben en lo definido como trata de personas y trabajando en condiciones de reducción a la servidumbre. El presente proyecto propone analizar las dinámicas que confluyen en la proliferación de formas de explotación que desbordan al concepto de precariedad y su vinculación con el empleo de migrantes.</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Las configuraciones de políticas sociales en la Ciudad de Buenos Aires. Desarrollo y transformaciones de las líneas de acción estatal, 1983-2011.</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Directora: Vilma Paura</w:t>
            </w:r>
          </w:p>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Integrantes: </w:t>
            </w:r>
            <w:r w:rsidDel="00000000" w:rsidR="00000000" w:rsidRPr="00000000">
              <w:rPr>
                <w:rFonts w:ascii="Verdana" w:cs="Verdana" w:eastAsia="Verdana" w:hAnsi="Verdana"/>
                <w:color w:val="19181c"/>
                <w:highlight w:val="white"/>
                <w:rtl w:val="0"/>
              </w:rPr>
              <w:t xml:space="preserve">Mariel Rubin, Mariela Nerome, Alzola Cristina, Catalina Chacon.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El proyecto tiene por objetivo realizar una investigación sobre la transformación de las políticas sociales en la Ciudad de Buenos Aires entre 1983 y 2011. Se buscará describir la configuración de políticas sociales y las líneas de acción estatales y avanzar en el conocimiento de sus transformaciones en el período comprendido entre el momento de retorno al sistema democrático de gobierno, el momento de autonomización de la Ciudad de Buenos Aires y el año de finalización de la tercera gestión de gobierno autónomo. Las líneas de indagación principales son el relevamiento de estudios disponibles, la identificación de dimensiones e indicadores para definir la cuestión social urbana y la sistematización y análisis de legislación, información estadística, documentos oficiales y entrevistas a actores clave.</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Experiencias de vida juveniles y fronteras sociales en espacios educativos, de salud y barriales en AMBA (CABA, Norte y Oeste) y Gran La Plata, </w:t>
            </w:r>
          </w:p>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Dirección: Mariana Chaves y Sebastián Fuentes</w:t>
            </w:r>
          </w:p>
          <w:p w:rsidR="00000000" w:rsidDel="00000000" w:rsidP="00000000" w:rsidRDefault="00000000" w:rsidRPr="00000000">
            <w:pPr>
              <w:spacing w:after="520" w:before="300" w:line="335.99999999999994" w:lineRule="auto"/>
              <w:contextualSpacing w:val="0"/>
              <w:jc w:val="both"/>
              <w:rPr>
                <w:color w:val="19181c"/>
                <w:sz w:val="19"/>
                <w:szCs w:val="19"/>
                <w:highlight w:val="white"/>
              </w:rPr>
            </w:pPr>
            <w:r w:rsidDel="00000000" w:rsidR="00000000" w:rsidRPr="00000000">
              <w:rPr>
                <w:rFonts w:ascii="Verdana" w:cs="Verdana" w:eastAsia="Verdana" w:hAnsi="Verdana"/>
                <w:color w:val="19181c"/>
                <w:highlight w:val="white"/>
                <w:rtl w:val="0"/>
              </w:rPr>
              <w:t xml:space="preserve">Integrantes: </w:t>
            </w:r>
            <w:r w:rsidDel="00000000" w:rsidR="00000000" w:rsidRPr="00000000">
              <w:rPr>
                <w:rFonts w:ascii="Verdana" w:cs="Verdana" w:eastAsia="Verdana" w:hAnsi="Verdana"/>
                <w:color w:val="19181c"/>
                <w:highlight w:val="white"/>
                <w:rtl w:val="0"/>
              </w:rPr>
              <w:t xml:space="preserve">Solana Noceti, Luisa Vecino, Florencia Brandoni, Gabriela Tabak, Andrea Bascialla, Maria Eugenia Espindola, Mariel Alasia.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Fonts w:ascii="Verdana" w:cs="Verdana" w:eastAsia="Verdana" w:hAnsi="Verdana"/>
                <w:color w:val="19181c"/>
                <w:highlight w:val="white"/>
                <w:rtl w:val="0"/>
              </w:rPr>
              <w:t xml:space="preserve">El proyecto tiene por objetivo general analizar experiencias de vida juveniles en circuitos de socialización y sociabilidad desiguales, a partir de espacios educativos, de salud y barriales, identificando y analizando barreras y fronteras sociales, a fin de contribuir a la comprensión de la dinámica relacional de las desigualdades sociales. Se adopta para el estudio el enfoque cualitativo en acuerdo al interés de abordar la perspectiva de los actores y las lógicas simbólicas que organizan la construcción y reproducción de desigualdades. Realizaremos trabajo etnográfico, entrevistas grupales e individuales, cuestionarios y recopilación de diversas fuentes y utilizaremos para su análisis diversas herramientas acorde a cada referente analítico que hayamos producido. Se toman como referentes empiricos: jóvenes y sus familias en condiciones de pobreza estructural en el Gran La Plata; jóvenes en condiciones de pobreza y sectores medios bajos en el partido de Moreno, y no jóvenes que se relacionan con ellos; jóvenes en condiciones de altos ingresos del AMBA; servicios de salud en CABA; jóvenes estudiantes de la UNTREF; jóvenes en situación de calle en CABA. Las experiencias vividas en condiciones de desigualdad serán abordadas como producidas/productoras de sentido, y se problematizan los imaginarios (prestigio/estigma; riqueza/pobreza; etc.) y los procesos de naturalización que legitiman las desigualdades sociales.</w:t>
            </w:r>
          </w:p>
        </w:tc>
      </w:tr>
    </w:tbl>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tl w:val="0"/>
        </w:rPr>
      </w:r>
    </w:p>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tl w:val="0"/>
        </w:rPr>
      </w:r>
    </w:p>
    <w:p w:rsidR="00000000" w:rsidDel="00000000" w:rsidP="00000000" w:rsidRDefault="00000000" w:rsidRPr="00000000">
      <w:pPr>
        <w:spacing w:after="520" w:before="300" w:line="335.99999999999994" w:lineRule="auto"/>
        <w:contextualSpacing w:val="0"/>
        <w:jc w:val="both"/>
        <w:rPr>
          <w:rFonts w:ascii="Verdana" w:cs="Verdana" w:eastAsia="Verdana" w:hAnsi="Verdana"/>
          <w:color w:val="19181c"/>
          <w:highlight w:val="white"/>
        </w:rPr>
      </w:pPr>
      <w:r w:rsidDel="00000000" w:rsidR="00000000" w:rsidRPr="00000000">
        <w:rPr>
          <w:rtl w:val="0"/>
        </w:rPr>
      </w:r>
    </w:p>
    <w:p w:rsidR="00000000" w:rsidDel="00000000" w:rsidP="00000000" w:rsidRDefault="00000000" w:rsidRPr="00000000">
      <w:pPr>
        <w:contextualSpacing w:val="0"/>
        <w:jc w:val="both"/>
        <w:rPr>
          <w:rFonts w:ascii="Verdana" w:cs="Verdana" w:eastAsia="Verdana" w:hAnsi="Verdana"/>
        </w:rPr>
      </w:pPr>
      <w:r w:rsidDel="00000000" w:rsidR="00000000" w:rsidRPr="00000000">
        <w:rPr>
          <w:rtl w:val="0"/>
        </w:rPr>
      </w:r>
    </w:p>
    <w:sectPr>
      <w:headerReference r:id="rId6" w:type="default"/>
      <w:pgSz w:h="11906" w:w="16838"/>
      <w:pgMar w:bottom="1440.0000000000002" w:top="1440.0000000000002"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before="142" w:line="240" w:lineRule="auto"/>
      <w:ind w:left="-1701" w:firstLine="0"/>
      <w:contextualSpacing w:val="0"/>
      <w:jc w:val="center"/>
      <w:rPr/>
    </w:pPr>
    <w:r w:rsidDel="00000000" w:rsidR="00000000" w:rsidRPr="00000000">
      <w:rPr>
        <w:rFonts w:ascii="Calibri" w:cs="Calibri" w:eastAsia="Calibri" w:hAnsi="Calibri"/>
      </w:rPr>
      <w:drawing>
        <wp:inline distB="0" distT="0" distL="0" distR="0">
          <wp:extent cx="2328880" cy="1028632"/>
          <wp:effectExtent b="0" l="0" r="0" t="0"/>
          <wp:docPr id="2"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2328880" cy="1028632"/>
                  </a:xfrm>
                  <a:prstGeom prst="rect"/>
                  <a:ln/>
                </pic:spPr>
              </pic:pic>
            </a:graphicData>
          </a:graphic>
        </wp:inline>
      </w:drawing>
    </w:r>
    <w:r w:rsidDel="00000000" w:rsidR="00000000" w:rsidRPr="00000000">
      <w:rPr>
        <w:rFonts w:ascii="Calibri" w:cs="Calibri" w:eastAsia="Calibri" w:hAnsi="Calibri"/>
      </w:rPr>
      <w:drawing>
        <wp:inline distB="114300" distT="114300" distL="114300" distR="114300">
          <wp:extent cx="2991803" cy="924619"/>
          <wp:effectExtent b="0" l="0" r="0" t="0"/>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991803" cy="9246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