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b w:val="1"/>
          <w:color w:val="222222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rtl w:val="0"/>
        </w:rPr>
        <w:t xml:space="preserve">Vilma Paura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Vilma Paura es profesora en Historia por la Universidad Nacional de la Patagonia y Especialista en Planificación y Gestión de Políticas Sociales y Magister en Políticas Sociales, Facultad de Ciencias Sociales-UBA.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Docente investigadora especializada en políticas sociales en la Argentina reciente en carreras de grado y posgrado en universidades públicas nacionales. Es Coordinadora Académica de la Especialización y Maestría en Políticas Sociales Urbanas de la UNTREF y editora de Ciudadanías. Revista de Políticas Sociales Urbanas.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